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900"/>
    <w:p w:rsidR="00C921E4" w:rsidRDefault="00C921E4" w:rsidP="00C921E4">
      <w:pPr>
        <w:pStyle w:val="1"/>
      </w:pPr>
      <w:r>
        <w:fldChar w:fldCharType="begin"/>
      </w:r>
      <w:r>
        <w:instrText>HYPERLINK "http://internet.garant.ru/document/redirect/400165890/0"</w:instrText>
      </w:r>
      <w:r>
        <w:fldChar w:fldCharType="separate"/>
      </w:r>
      <w:r>
        <w:rPr>
          <w:rStyle w:val="a3"/>
          <w:b w:val="0"/>
          <w:bCs w:val="0"/>
        </w:rPr>
        <w:t>Постановление Правительства РФ от 28 декабря 2020 г. N 2299 "О Программе государственных гарантий бесплатного оказания гражданам медицинской помощи на 2021 год и на плановый период 2022 и 2023 годов" (с изменениями и дополнениями)</w:t>
      </w:r>
      <w:r>
        <w:fldChar w:fldCharType="end"/>
      </w:r>
    </w:p>
    <w:p w:rsidR="00C921E4" w:rsidRDefault="00C921E4" w:rsidP="00C921E4">
      <w:pPr>
        <w:pStyle w:val="a5"/>
      </w:pPr>
      <w:r>
        <w:t>С изменениями и дополнениями от:</w:t>
      </w:r>
    </w:p>
    <w:p w:rsidR="00C921E4" w:rsidRDefault="00C921E4" w:rsidP="00C921E4">
      <w:pPr>
        <w:pStyle w:val="a4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марта, 18 июня, 28 августа, 19 ноября 2021 г.</w:t>
      </w:r>
    </w:p>
    <w:p w:rsidR="00C921E4" w:rsidRDefault="00C921E4" w:rsidP="00C921E4">
      <w:pPr>
        <w:pStyle w:val="1"/>
      </w:pPr>
      <w:r>
        <w:t>IX. Критерии доступности и качества медицинской помощ</w:t>
      </w:r>
      <w:r>
        <w:t>и</w:t>
      </w:r>
    </w:p>
    <w:p w:rsidR="00C921E4" w:rsidRPr="00C921E4" w:rsidRDefault="00C921E4" w:rsidP="00C921E4"/>
    <w:bookmarkEnd w:id="0"/>
    <w:p w:rsidR="00C921E4" w:rsidRDefault="00C921E4" w:rsidP="00C921E4"/>
    <w:p w:rsidR="00C921E4" w:rsidRDefault="00C921E4" w:rsidP="00C921E4">
      <w:r>
        <w:t>Критериями доступности медицинской помощи являются:</w:t>
      </w:r>
    </w:p>
    <w:p w:rsidR="00C921E4" w:rsidRDefault="00C921E4" w:rsidP="00C921E4"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C921E4" w:rsidRDefault="00C921E4" w:rsidP="00C921E4"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C921E4" w:rsidRDefault="00C921E4" w:rsidP="00C921E4"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C921E4" w:rsidRDefault="00C921E4" w:rsidP="00C921E4"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C921E4" w:rsidRDefault="00C921E4" w:rsidP="00C921E4"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C921E4" w:rsidRDefault="00C921E4" w:rsidP="00C921E4"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C921E4" w:rsidRDefault="00C921E4" w:rsidP="00C921E4"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</w:t>
      </w:r>
    </w:p>
    <w:p w:rsidR="00C921E4" w:rsidRDefault="00C921E4" w:rsidP="00C921E4">
      <w:r>
        <w:t>Критериями качества медицинской помощи являются:</w:t>
      </w:r>
    </w:p>
    <w:p w:rsidR="00C921E4" w:rsidRDefault="00C921E4" w:rsidP="00C921E4"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C921E4" w:rsidRDefault="00C921E4" w:rsidP="00C921E4"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C921E4" w:rsidRDefault="00C921E4" w:rsidP="00C921E4"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C921E4" w:rsidRDefault="00C921E4" w:rsidP="00C921E4"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C921E4" w:rsidRDefault="00C921E4" w:rsidP="00C921E4"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C921E4" w:rsidRDefault="00C921E4" w:rsidP="00C921E4"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C921E4" w:rsidRDefault="00C921E4" w:rsidP="00C921E4">
      <w:r>
        <w:t xml:space="preserve">доля пациентов с острым и повторным инфарктом миокарда, которым выездной бригадой </w:t>
      </w:r>
      <w:r>
        <w:lastRenderedPageBreak/>
        <w:t xml:space="preserve">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C921E4" w:rsidRDefault="00C921E4" w:rsidP="00C921E4"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:rsidR="00C921E4" w:rsidRDefault="00C921E4" w:rsidP="00C921E4"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C921E4" w:rsidRDefault="00C921E4" w:rsidP="00C921E4"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C921E4" w:rsidRDefault="00C921E4" w:rsidP="00C921E4"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C921E4" w:rsidRDefault="00C921E4" w:rsidP="00C921E4"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C921E4" w:rsidRDefault="00C921E4" w:rsidP="00C921E4"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</w:t>
      </w:r>
    </w:p>
    <w:p w:rsidR="00C921E4" w:rsidRDefault="00C921E4" w:rsidP="00C921E4"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C921E4" w:rsidRDefault="00C921E4" w:rsidP="00C921E4"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6" w:history="1">
        <w:r>
          <w:rPr>
            <w:rStyle w:val="a3"/>
          </w:rPr>
          <w:t>"Здравоохранение"</w:t>
        </w:r>
      </w:hyperlink>
      <w:r>
        <w:t xml:space="preserve"> и </w:t>
      </w:r>
      <w:hyperlink r:id="rId7" w:history="1">
        <w:r>
          <w:rPr>
            <w:rStyle w:val="a3"/>
          </w:rPr>
          <w:t>"Демография"</w:t>
        </w:r>
      </w:hyperlink>
      <w:r>
        <w:t>.</w:t>
      </w:r>
    </w:p>
    <w:p w:rsidR="00C921E4" w:rsidRDefault="00C921E4" w:rsidP="00C921E4"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C921E4" w:rsidRDefault="00C921E4" w:rsidP="00C921E4"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C921E4" w:rsidRDefault="00C921E4" w:rsidP="00C921E4">
      <w:r>
        <w:t xml:space="preserve">доля объема специализированной, в том числе высокотехнологичной, медицинской помощи, с коэффициентом относительной </w:t>
      </w:r>
      <w:proofErr w:type="spellStart"/>
      <w:r>
        <w:t>затратоемкости</w:t>
      </w:r>
      <w:proofErr w:type="spellEnd"/>
      <w:r>
        <w:t>, равным 2 и более, в объеме оказанной специализированной, в том числе высокотехнологичной, медицинской помощи (в 2021 году - не менее 60 процентов, в 2022 и 2023 годах - не менее 70 процентов);</w:t>
      </w:r>
    </w:p>
    <w:p w:rsidR="00C921E4" w:rsidRDefault="00C921E4" w:rsidP="00C921E4"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C921E4" w:rsidRDefault="00C921E4" w:rsidP="00C921E4"/>
    <w:p w:rsidR="00C921E4" w:rsidRDefault="00C921E4" w:rsidP="00C921E4">
      <w:pPr>
        <w:ind w:firstLine="0"/>
        <w:jc w:val="left"/>
        <w:sectPr w:rsidR="00C921E4">
          <w:footerReference w:type="default" r:id="rId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C921E4" w:rsidRDefault="00C921E4" w:rsidP="00C921E4">
      <w:pPr>
        <w:jc w:val="right"/>
        <w:rPr>
          <w:rStyle w:val="a6"/>
          <w:rFonts w:ascii="Arial" w:hAnsi="Arial" w:cs="Arial"/>
        </w:rPr>
      </w:pPr>
      <w:r>
        <w:rPr>
          <w:rStyle w:val="a6"/>
          <w:rFonts w:ascii="Arial" w:hAnsi="Arial" w:cs="Arial"/>
        </w:rPr>
        <w:lastRenderedPageBreak/>
        <w:t>Приложение 11</w:t>
      </w:r>
      <w:r>
        <w:rPr>
          <w:rStyle w:val="a6"/>
          <w:rFonts w:ascii="Arial" w:hAnsi="Arial" w:cs="Arial"/>
        </w:rPr>
        <w:br/>
        <w:t xml:space="preserve">к </w:t>
      </w:r>
      <w:hyperlink w:anchor="sub_0" w:history="1">
        <w:r>
          <w:rPr>
            <w:rStyle w:val="a3"/>
            <w:rFonts w:ascii="Arial" w:hAnsi="Arial" w:cs="Arial"/>
          </w:rPr>
          <w:t>Закону</w:t>
        </w:r>
      </w:hyperlink>
      <w:r>
        <w:rPr>
          <w:rStyle w:val="a6"/>
          <w:rFonts w:ascii="Arial" w:hAnsi="Arial" w:cs="Arial"/>
        </w:rPr>
        <w:t xml:space="preserve"> Краснодарского края</w:t>
      </w:r>
      <w:r>
        <w:rPr>
          <w:rStyle w:val="a6"/>
          <w:rFonts w:ascii="Arial" w:hAnsi="Arial" w:cs="Arial"/>
        </w:rPr>
        <w:br/>
        <w:t>"О Территориальной программе</w:t>
      </w:r>
      <w:r>
        <w:rPr>
          <w:rStyle w:val="a6"/>
          <w:rFonts w:ascii="Arial" w:hAnsi="Arial" w:cs="Arial"/>
        </w:rPr>
        <w:br/>
        <w:t>государственных гарантий бесплатного</w:t>
      </w:r>
      <w:r>
        <w:rPr>
          <w:rStyle w:val="a6"/>
          <w:rFonts w:ascii="Arial" w:hAnsi="Arial" w:cs="Arial"/>
        </w:rPr>
        <w:br/>
        <w:t>оказания гражданам медицинской помощи</w:t>
      </w:r>
      <w:r>
        <w:rPr>
          <w:rStyle w:val="a6"/>
          <w:rFonts w:ascii="Arial" w:hAnsi="Arial" w:cs="Arial"/>
        </w:rPr>
        <w:br/>
        <w:t>в Краснодарском крае</w:t>
      </w:r>
      <w:r>
        <w:rPr>
          <w:rStyle w:val="a6"/>
          <w:rFonts w:ascii="Arial" w:hAnsi="Arial" w:cs="Arial"/>
        </w:rPr>
        <w:br/>
        <w:t>на 2022 год и на плановый</w:t>
      </w:r>
      <w:r>
        <w:rPr>
          <w:rStyle w:val="a6"/>
          <w:rFonts w:ascii="Arial" w:hAnsi="Arial" w:cs="Arial"/>
        </w:rPr>
        <w:br/>
        <w:t>период 2023 и 2024 годов"</w:t>
      </w:r>
    </w:p>
    <w:p w:rsidR="00C921E4" w:rsidRDefault="00C921E4" w:rsidP="00C921E4"/>
    <w:p w:rsidR="00C921E4" w:rsidRDefault="00C921E4" w:rsidP="00C921E4">
      <w:pPr>
        <w:pStyle w:val="1"/>
      </w:pPr>
      <w:r>
        <w:t>Целевые значения критериев доступности и качества медицинской помощи, оказываемой в рамках Территориальной программы госгарантий</w:t>
      </w:r>
    </w:p>
    <w:p w:rsidR="00C921E4" w:rsidRDefault="00C921E4" w:rsidP="00C921E4">
      <w:pPr>
        <w:pStyle w:val="a5"/>
      </w:pPr>
      <w:r>
        <w:t>С изменениями и дополнениями от:</w:t>
      </w:r>
    </w:p>
    <w:p w:rsidR="00C921E4" w:rsidRDefault="00C921E4" w:rsidP="00C921E4">
      <w:pPr>
        <w:pStyle w:val="a4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июля 2022 г.</w:t>
      </w:r>
    </w:p>
    <w:p w:rsidR="00C921E4" w:rsidRDefault="00C921E4" w:rsidP="00C921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10"/>
        <w:gridCol w:w="2726"/>
        <w:gridCol w:w="15"/>
        <w:gridCol w:w="2203"/>
        <w:gridCol w:w="10"/>
        <w:gridCol w:w="18"/>
      </w:tblGrid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Целевой показатель 2022 год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2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3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3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1"/>
            </w:pPr>
            <w:r>
              <w:t>Критерии качества медицинской помощи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процентов от числа опрошенных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67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городского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67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сельского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67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Смертность населения, в том числе: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число умерших на 1000 человек населения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16,5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городского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16,7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сельского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16,3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Смертность населения в трудоспособном возрасте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число умерших в трудоспособном возрасте на 100 тыс. человек населения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500,5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25,0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Материнская смертность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на 100 тыс. человек, родившихся живыми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6,1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Младенческая смертность, в том числе: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на 1000 человек, родившихся живыми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4,0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городского населения</w:t>
            </w: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3,7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сельского населения</w:t>
            </w: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4,8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10,8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Смертность детей в возрасте 0-4 лет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на 1000 родившихся живыми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5,2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13,7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Смертность детей в возрасте 0-17 лет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на 100 тыс. человек населения соответствующего возраста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46,5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lastRenderedPageBreak/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18,0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6,4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5,6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6,8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30,0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58,0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впервые выявленных случаев онкологических заболеваний на ранних стадиях (I и II стадия) в общем количестве выявленных случаев онкологических заболеваний в течение года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61,2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70,0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 xml:space="preserve">Доля пациентов со злокачественными </w:t>
            </w:r>
            <w:r>
              <w:lastRenderedPageBreak/>
              <w:t>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lastRenderedPageBreak/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31,0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59,0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1,6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50,5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46,8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26,8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25,2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 xml:space="preserve">Доля пациентов с острыми </w:t>
            </w:r>
            <w:proofErr w:type="spellStart"/>
            <w:proofErr w:type="gramStart"/>
            <w:r>
              <w:t>церебро-васкулярными</w:t>
            </w:r>
            <w:proofErr w:type="spellEnd"/>
            <w:proofErr w:type="gramEnd"/>
            <w:r>
              <w:t xml:space="preserve">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40,5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lastRenderedPageBreak/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lastRenderedPageBreak/>
              <w:t>процентов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15,0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14,3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90,0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90,0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95,0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госгарантий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единиц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13,0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9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1"/>
            </w:pPr>
            <w:bookmarkStart w:id="1" w:name="sub_110"/>
            <w:r>
              <w:t>Критерии доступности медицинской помощи</w:t>
            </w:r>
            <w:bookmarkEnd w:id="1"/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Обеспеченность населения врачами, всего, в том числе: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на 10 тыс. человек населения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32,1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городского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45,9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сельского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15,2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в том числе оказывающими медицинскую помощь: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на 10 тыс. человек населения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в амбулаторных условиях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17,9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в стационарных условиях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13,0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Обеспеченность населения средним медицинским персоналом, всего,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на 10 тыс. человек населения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66,3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в том числе: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городского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85,9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сельского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42,1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 xml:space="preserve">в том числе оказывающим медицинскую </w:t>
            </w:r>
            <w:r>
              <w:lastRenderedPageBreak/>
              <w:t>помощь: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lastRenderedPageBreak/>
              <w:t xml:space="preserve">на 10 тыс. человек </w:t>
            </w:r>
            <w:r>
              <w:lastRenderedPageBreak/>
              <w:t>населения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в амбулаторных условиях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27,6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в стационарных условиях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31,5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8,9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госгарантий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2,0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охвата профилактическими медицинскими осмотрами и диспансеризацией населения, подлежащего профилактическим медицинским осмотрами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54,9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33,0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охвата профилактическими медицинскими осмотрами взрослого населения, в том числе: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43,4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городского населения</w:t>
            </w:r>
          </w:p>
        </w:tc>
        <w:tc>
          <w:tcPr>
            <w:tcW w:w="2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43,4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сельского населения</w:t>
            </w:r>
          </w:p>
        </w:tc>
        <w:tc>
          <w:tcPr>
            <w:tcW w:w="2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43,4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охвата профилактическими медицинскими осмотрами детей, в том числе: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95,3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городского населения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95,3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сельского населения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95,3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48,0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0,5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 xml:space="preserve">Число лиц, проживающих в сельской </w:t>
            </w:r>
            <w:r>
              <w:lastRenderedPageBreak/>
              <w:t>местности, которым оказана скорая медицинская помощь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lastRenderedPageBreak/>
              <w:t xml:space="preserve">на 1000 человек </w:t>
            </w:r>
            <w:r>
              <w:lastRenderedPageBreak/>
              <w:t>сельского населения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lastRenderedPageBreak/>
              <w:t>265,0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35,0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41,0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48,0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тыс. человек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26,8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тыс. человек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по факту обращения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20,0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bookmarkStart w:id="2" w:name="sub_301133"/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  <w:bookmarkEnd w:id="2"/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человек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по факту обращения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%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не менее 70,0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lastRenderedPageBreak/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%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31,5</w:t>
            </w:r>
            <w:bookmarkStart w:id="3" w:name="_GoBack"/>
            <w:bookmarkEnd w:id="3"/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9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1"/>
            </w:pPr>
            <w:r>
              <w:t>Показатели эффективности деятельности медицинских организаций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Оценка выполнения функции врачебной должности, всего, в том числе: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процентов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96,0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городского населения</w:t>
            </w: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96,0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сельского населения</w:t>
            </w: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96,0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Использование коечного фонда, в том числе: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дней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330,0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городского населения</w:t>
            </w: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331,0</w:t>
            </w:r>
          </w:p>
        </w:tc>
      </w:tr>
      <w:tr w:rsidR="00C921E4" w:rsidTr="00990C15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8"/>
            </w:pPr>
            <w:r>
              <w:t>сельского населения</w:t>
            </w: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4" w:rsidRDefault="00C921E4" w:rsidP="00990C15">
            <w:pPr>
              <w:pStyle w:val="a7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4" w:rsidRDefault="00C921E4" w:rsidP="00990C15">
            <w:pPr>
              <w:pStyle w:val="a7"/>
              <w:jc w:val="center"/>
            </w:pPr>
            <w:r>
              <w:t>327,0</w:t>
            </w:r>
          </w:p>
        </w:tc>
      </w:tr>
    </w:tbl>
    <w:p w:rsidR="00C921E4" w:rsidRDefault="00C921E4" w:rsidP="00C921E4"/>
    <w:p w:rsidR="00863932" w:rsidRDefault="00863932"/>
    <w:sectPr w:rsidR="0086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DA" w:rsidRDefault="00E249DA" w:rsidP="00C921E4">
      <w:r>
        <w:separator/>
      </w:r>
    </w:p>
  </w:endnote>
  <w:endnote w:type="continuationSeparator" w:id="0">
    <w:p w:rsidR="00E249DA" w:rsidRDefault="00E249DA" w:rsidP="00C9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249D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249D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249D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21E4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21E4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DA" w:rsidRDefault="00E249DA" w:rsidP="00C921E4">
      <w:r>
        <w:separator/>
      </w:r>
    </w:p>
  </w:footnote>
  <w:footnote w:type="continuationSeparator" w:id="0">
    <w:p w:rsidR="00E249DA" w:rsidRDefault="00E249DA" w:rsidP="00C92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C5"/>
    <w:rsid w:val="005261C5"/>
    <w:rsid w:val="00863932"/>
    <w:rsid w:val="00C921E4"/>
    <w:rsid w:val="00E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91360-CB8E-4C67-86B1-FFEF3D61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1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1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21E4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C921E4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C921E4"/>
    <w:rPr>
      <w:b/>
      <w:bCs/>
      <w:color w:val="353842"/>
      <w:sz w:val="20"/>
      <w:szCs w:val="20"/>
    </w:rPr>
  </w:style>
  <w:style w:type="character" w:customStyle="1" w:styleId="a6">
    <w:name w:val="Цветовое выделение"/>
    <w:uiPriority w:val="99"/>
    <w:rsid w:val="00C921E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921E4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921E4"/>
    <w:pPr>
      <w:ind w:firstLine="0"/>
      <w:jc w:val="left"/>
    </w:pPr>
  </w:style>
  <w:style w:type="paragraph" w:styleId="a9">
    <w:name w:val="header"/>
    <w:basedOn w:val="a"/>
    <w:link w:val="aa"/>
    <w:uiPriority w:val="99"/>
    <w:unhideWhenUsed/>
    <w:rsid w:val="00C92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21E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2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21E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2158122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2185920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2555</Words>
  <Characters>14567</Characters>
  <Application>Microsoft Office Word</Application>
  <DocSecurity>0</DocSecurity>
  <Lines>121</Lines>
  <Paragraphs>34</Paragraphs>
  <ScaleCrop>false</ScaleCrop>
  <Company/>
  <LinksUpToDate>false</LinksUpToDate>
  <CharactersWithSpaces>17088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Коданева Юлия Владимировна</dc:creator>
  <cp:keywords/>
  <dc:description/>
  <cp:lastModifiedBy>Коданева Юлия Владимировна</cp:lastModifiedBy>
  <cp:revision>2</cp:revision>
  <dcterms:created xsi:type="dcterms:W3CDTF">2022-11-16T08:35:00Z</dcterms:created>
  <dcterms:modified xsi:type="dcterms:W3CDTF">2022-11-16T08:38:00Z</dcterms:modified>
</cp:coreProperties>
</file>